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140E7D" w:rsidRDefault="00140E7D" w:rsidP="00FA0EC5">
      <w:pPr>
        <w:jc w:val="center"/>
        <w:rPr>
          <w:b/>
          <w:i/>
          <w:iCs/>
          <w:sz w:val="22"/>
          <w:szCs w:val="22"/>
        </w:rPr>
      </w:pPr>
      <w:r w:rsidRPr="00140E7D">
        <w:rPr>
          <w:b/>
          <w:i/>
          <w:iCs/>
          <w:sz w:val="22"/>
          <w:szCs w:val="22"/>
        </w:rPr>
        <w:t xml:space="preserve">Punë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36A05">
        <w:rPr>
          <w:b/>
          <w:iCs/>
          <w:color w:val="0000C8"/>
          <w:sz w:val="22"/>
          <w:szCs w:val="22"/>
        </w:rPr>
        <w:t>24</w:t>
      </w:r>
      <w:r w:rsidR="00140E7D">
        <w:rPr>
          <w:b/>
          <w:iCs/>
          <w:color w:val="0000C8"/>
          <w:sz w:val="22"/>
          <w:szCs w:val="22"/>
        </w:rPr>
        <w:t>.10</w:t>
      </w:r>
      <w:r w:rsidR="008314D0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46431C" w:rsidP="00665783">
            <w:pPr>
              <w:rPr>
                <w:b/>
                <w:bCs/>
                <w:sz w:val="22"/>
                <w:szCs w:val="22"/>
              </w:rPr>
            </w:pPr>
            <w:r w:rsidRPr="00700729">
              <w:rPr>
                <w:b/>
                <w:bCs/>
                <w:sz w:val="22"/>
                <w:szCs w:val="22"/>
              </w:rPr>
              <w:t xml:space="preserve">   </w:t>
            </w:r>
            <w:r w:rsidRPr="001902D1">
              <w:rPr>
                <w:b/>
                <w:color w:val="0000FF"/>
              </w:rPr>
              <w:t xml:space="preserve"> </w:t>
            </w:r>
            <w:proofErr w:type="spellStart"/>
            <w:r w:rsidRPr="001902D1">
              <w:rPr>
                <w:b/>
                <w:color w:val="0000FF"/>
              </w:rPr>
              <w:t>RfQ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40E7D">
              <w:rPr>
                <w:b/>
                <w:color w:val="0000FF"/>
              </w:rPr>
              <w:t>160</w:t>
            </w:r>
            <w:r>
              <w:rPr>
                <w:b/>
                <w:color w:val="0000FF"/>
              </w:rPr>
              <w:t>/09</w:t>
            </w:r>
            <w:r w:rsidRPr="000221B7">
              <w:rPr>
                <w:b/>
                <w:color w:val="0000FF"/>
              </w:rPr>
              <w:t>-2023</w:t>
            </w:r>
            <w:r w:rsidR="00C36A05">
              <w:rPr>
                <w:b/>
                <w:color w:val="0000FF"/>
              </w:rPr>
              <w:t>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iCs/>
                <w:color w:val="0000C8"/>
                <w:sz w:val="22"/>
                <w:szCs w:val="22"/>
              </w:rPr>
            </w:r>
            <w:r w:rsidR="007A3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275EB6">
              <w:rPr>
                <w:b/>
                <w:color w:val="0000FF"/>
                <w:lang w:val="en-GB"/>
              </w:rPr>
              <w:t>Arbenita.kadriu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iCs/>
                <w:color w:val="0000C8"/>
                <w:sz w:val="22"/>
                <w:szCs w:val="22"/>
              </w:rPr>
            </w:r>
            <w:r w:rsidR="007A3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iCs/>
                <w:color w:val="0000C8"/>
                <w:sz w:val="22"/>
                <w:szCs w:val="22"/>
              </w:rPr>
            </w:r>
            <w:r w:rsidR="007A3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140E7D" w:rsidP="00275EB6">
            <w:pPr>
              <w:rPr>
                <w:b/>
                <w:bCs/>
                <w:sz w:val="22"/>
                <w:szCs w:val="22"/>
              </w:rPr>
            </w:pPr>
            <w:r w:rsidRPr="00475F1B">
              <w:rPr>
                <w:b/>
                <w:color w:val="0000FF"/>
              </w:rPr>
              <w:t xml:space="preserve">Ndërtimi i sistemit solar </w:t>
            </w:r>
            <w:proofErr w:type="spellStart"/>
            <w:r w:rsidRPr="00475F1B">
              <w:rPr>
                <w:b/>
                <w:color w:val="0000FF"/>
              </w:rPr>
              <w:t>fotovoltaik</w:t>
            </w:r>
            <w:proofErr w:type="spellEnd"/>
            <w:r w:rsidRPr="00475F1B">
              <w:rPr>
                <w:b/>
                <w:color w:val="0000FF"/>
              </w:rPr>
              <w:t xml:space="preserve"> në </w:t>
            </w:r>
            <w:proofErr w:type="spellStart"/>
            <w:r w:rsidRPr="00475F1B">
              <w:rPr>
                <w:b/>
                <w:color w:val="0000FF"/>
              </w:rPr>
              <w:t>obijektet</w:t>
            </w:r>
            <w:proofErr w:type="spellEnd"/>
            <w:r w:rsidRPr="00475F1B">
              <w:rPr>
                <w:b/>
                <w:color w:val="0000FF"/>
              </w:rPr>
              <w:t xml:space="preserve"> e KEDS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140E7D" w:rsidP="00ED28E6">
            <w:pPr>
              <w:rPr>
                <w:b/>
                <w:bCs/>
                <w:sz w:val="22"/>
                <w:szCs w:val="22"/>
              </w:rPr>
            </w:pPr>
            <w:r w:rsidRPr="00140E7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140E7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iCs/>
                <w:color w:val="0000C8"/>
                <w:sz w:val="22"/>
                <w:szCs w:val="22"/>
              </w:rPr>
            </w:r>
            <w:r w:rsidR="007A3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40E7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140E7D">
              <w:rPr>
                <w:b/>
                <w:iCs/>
                <w:color w:val="0000C8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46431C" w:rsidP="00ED28E6">
            <w:pPr>
              <w:rPr>
                <w:b/>
                <w:bCs/>
                <w:sz w:val="22"/>
                <w:szCs w:val="22"/>
              </w:rPr>
            </w:pPr>
            <w:r w:rsidRPr="0046431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6431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bCs/>
                <w:sz w:val="22"/>
                <w:szCs w:val="22"/>
              </w:rPr>
            </w:r>
            <w:r w:rsidR="007A37CA">
              <w:rPr>
                <w:b/>
                <w:bCs/>
                <w:sz w:val="22"/>
                <w:szCs w:val="22"/>
              </w:rPr>
              <w:fldChar w:fldCharType="separate"/>
            </w:r>
            <w:r w:rsidRPr="0046431C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46431C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140E7D" w:rsidP="00ED28E6">
            <w:pPr>
              <w:rPr>
                <w:b/>
                <w:bCs/>
                <w:sz w:val="22"/>
                <w:szCs w:val="22"/>
              </w:rPr>
            </w:pPr>
            <w:r w:rsidRPr="00140E7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140E7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bCs/>
                <w:sz w:val="22"/>
                <w:szCs w:val="22"/>
              </w:rPr>
            </w:r>
            <w:r w:rsidR="007A37CA">
              <w:rPr>
                <w:b/>
                <w:bCs/>
                <w:sz w:val="22"/>
                <w:szCs w:val="22"/>
              </w:rPr>
              <w:fldChar w:fldCharType="separate"/>
            </w:r>
            <w:r w:rsidRPr="00140E7D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140E7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940567" w:rsidRDefault="00940567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94056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48"/>
            <w:r w:rsidRPr="0094056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iCs/>
                <w:color w:val="0000C8"/>
                <w:sz w:val="22"/>
                <w:szCs w:val="22"/>
              </w:rPr>
            </w:r>
            <w:r w:rsidR="007A3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94056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9"/>
            <w:r w:rsidR="00410B40" w:rsidRPr="0094056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940567">
              <w:rPr>
                <w:b/>
                <w:iCs/>
                <w:color w:val="0000C8"/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431C" w:rsidRDefault="0046431C" w:rsidP="00410B40">
            <w:pPr>
              <w:rPr>
                <w:sz w:val="22"/>
                <w:szCs w:val="22"/>
              </w:rPr>
            </w:pPr>
            <w:r w:rsidRPr="0046431C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46431C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46431C">
              <w:rPr>
                <w:sz w:val="22"/>
                <w:szCs w:val="22"/>
              </w:rPr>
              <w:fldChar w:fldCharType="end"/>
            </w:r>
            <w:bookmarkEnd w:id="11"/>
            <w:r w:rsidR="00410B40" w:rsidRPr="0046431C">
              <w:rPr>
                <w:sz w:val="22"/>
                <w:szCs w:val="22"/>
              </w:rPr>
              <w:t xml:space="preserve"> </w:t>
            </w:r>
            <w:r w:rsidR="00B83A45" w:rsidRPr="0046431C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940567" w:rsidRPr="00E62AD0" w:rsidRDefault="00940567" w:rsidP="00940567">
            <w:pPr>
              <w:rPr>
                <w:b/>
                <w:color w:val="0000C8"/>
                <w:sz w:val="24"/>
                <w:szCs w:val="24"/>
              </w:rPr>
            </w:pPr>
            <w:r w:rsidRPr="00E62AD0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347184" w:rsidP="00940567">
            <w:pPr>
              <w:rPr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Objekti i KEDS</w:t>
            </w:r>
            <w:bookmarkStart w:id="16" w:name="_GoBack"/>
            <w:bookmarkEnd w:id="16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46431C" w:rsidP="008314D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940567">
            <w:pPr>
              <w:rPr>
                <w:sz w:val="22"/>
                <w:szCs w:val="22"/>
              </w:rPr>
            </w:pP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46431C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6431C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46431C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6431C" w:rsidRDefault="008314D0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6431C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46431C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7A37CA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7A37CA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46431C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140E7D">
            <w:pPr>
              <w:rPr>
                <w:sz w:val="22"/>
                <w:szCs w:val="22"/>
              </w:rPr>
            </w:pPr>
            <w:r w:rsidRPr="00140E7D">
              <w:rPr>
                <w:b/>
                <w:color w:val="0000FF"/>
                <w:sz w:val="22"/>
              </w:rPr>
              <w:t xml:space="preserve">Ndërtimi i sistemit solar </w:t>
            </w:r>
            <w:proofErr w:type="spellStart"/>
            <w:r w:rsidRPr="00140E7D">
              <w:rPr>
                <w:b/>
                <w:color w:val="0000FF"/>
                <w:sz w:val="22"/>
              </w:rPr>
              <w:t>fotovoltaik</w:t>
            </w:r>
            <w:proofErr w:type="spellEnd"/>
            <w:r w:rsidRPr="00140E7D">
              <w:rPr>
                <w:b/>
                <w:color w:val="0000FF"/>
                <w:sz w:val="22"/>
              </w:rPr>
              <w:t xml:space="preserve"> në </w:t>
            </w:r>
            <w:proofErr w:type="spellStart"/>
            <w:r w:rsidRPr="00140E7D">
              <w:rPr>
                <w:b/>
                <w:color w:val="0000FF"/>
                <w:sz w:val="22"/>
              </w:rPr>
              <w:t>obijektet</w:t>
            </w:r>
            <w:proofErr w:type="spellEnd"/>
            <w:r w:rsidRPr="00140E7D">
              <w:rPr>
                <w:b/>
                <w:color w:val="0000FF"/>
                <w:sz w:val="22"/>
              </w:rPr>
              <w:t xml:space="preserve"> e KEDS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140E7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7A37CA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7A37CA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140E7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140E7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40E7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140E7D" w:rsidRDefault="00140E7D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40E7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140E7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b/>
                      <w:bCs/>
                      <w:sz w:val="22"/>
                      <w:szCs w:val="22"/>
                    </w:rPr>
                  </w:r>
                  <w:r w:rsidR="007A37C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140E7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140E7D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40E7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140E7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140E7D" w:rsidRDefault="00140E7D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40E7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140E7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7A37CA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7A37CA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140E7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140E7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140E7D" w:rsidRPr="00140E7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140E7D" w:rsidRPr="00140E7D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="00140E7D" w:rsidRPr="00140E7D">
              <w:rPr>
                <w:sz w:val="22"/>
                <w:szCs w:val="22"/>
              </w:rPr>
              <w:fldChar w:fldCharType="end"/>
            </w:r>
            <w:bookmarkEnd w:id="28"/>
            <w:r w:rsidR="00EA58D3" w:rsidRPr="00140E7D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140E7D">
        <w:trPr>
          <w:trHeight w:val="6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E7D" w:rsidRPr="00140E7D" w:rsidRDefault="00AC3717" w:rsidP="00140E7D">
            <w:pPr>
              <w:jc w:val="both"/>
              <w:rPr>
                <w:b/>
                <w:color w:val="0000C8"/>
                <w:sz w:val="24"/>
                <w:szCs w:val="24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40E7D" w:rsidRPr="00940567">
              <w:rPr>
                <w:b/>
                <w:color w:val="0000C8"/>
                <w:sz w:val="22"/>
                <w:szCs w:val="24"/>
              </w:rPr>
              <w:t>83,048.00 € Euro pa TVSH</w:t>
            </w:r>
          </w:p>
          <w:p w:rsidR="00AC3717" w:rsidRPr="00140E7D" w:rsidRDefault="00AC3717" w:rsidP="00140E7D">
            <w:pPr>
              <w:jc w:val="both"/>
              <w:rPr>
                <w:b/>
                <w:color w:val="0000C8"/>
                <w:szCs w:val="24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347184" w:rsidP="00533027">
            <w:pPr>
              <w:rPr>
                <w:sz w:val="22"/>
                <w:szCs w:val="22"/>
              </w:rPr>
            </w:pP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Fillon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nënshkrimin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kontratës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dhe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përfundon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pranimin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teknik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të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obijektit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dhe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pagesën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fundit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>nga</w:t>
            </w:r>
            <w:proofErr w:type="spellEnd"/>
            <w:r w:rsidRPr="00347184">
              <w:rPr>
                <w:b/>
                <w:color w:val="0000C8"/>
                <w:sz w:val="24"/>
                <w:szCs w:val="24"/>
                <w:lang w:val="en-GB"/>
              </w:rPr>
              <w:t xml:space="preserve"> AK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A37CA">
                    <w:rPr>
                      <w:b/>
                      <w:color w:val="0000FF"/>
                      <w:sz w:val="22"/>
                    </w:rPr>
                  </w:r>
                  <w:r w:rsidR="007A37C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140E7D" w:rsidRPr="00140E7D" w:rsidRDefault="000634A1" w:rsidP="00140E7D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140E7D" w:rsidRPr="00140E7D">
              <w:rPr>
                <w:b/>
                <w:color w:val="0000FF"/>
                <w:sz w:val="22"/>
              </w:rPr>
              <w:t>Shuma e Sigurisë së Ekzekutimit është 10 % e vlerës totale të kontratës për kohëzgjatjen e periudhës prej</w:t>
            </w:r>
            <w:r w:rsidR="007A37CA">
              <w:rPr>
                <w:b/>
                <w:color w:val="0000FF"/>
                <w:sz w:val="22"/>
              </w:rPr>
              <w:t xml:space="preserve"> nënshkrimit të kontratës deri 2</w:t>
            </w:r>
            <w:r w:rsidR="00140E7D" w:rsidRPr="00140E7D">
              <w:rPr>
                <w:b/>
                <w:color w:val="0000FF"/>
                <w:sz w:val="22"/>
              </w:rPr>
              <w:t xml:space="preserve">0 ditë pas përfundimit të punëve. </w:t>
            </w:r>
          </w:p>
          <w:p w:rsidR="00140E7D" w:rsidRPr="00140E7D" w:rsidRDefault="00140E7D" w:rsidP="00140E7D">
            <w:pPr>
              <w:rPr>
                <w:b/>
                <w:color w:val="0000FF"/>
                <w:sz w:val="22"/>
              </w:rPr>
            </w:pPr>
          </w:p>
          <w:p w:rsidR="00140E7D" w:rsidRPr="00140E7D" w:rsidRDefault="00140E7D" w:rsidP="00140E7D">
            <w:pPr>
              <w:rPr>
                <w:b/>
                <w:color w:val="0000FF"/>
                <w:sz w:val="22"/>
              </w:rPr>
            </w:pPr>
            <w:r w:rsidRPr="00140E7D">
              <w:rPr>
                <w:b/>
                <w:color w:val="0000FF"/>
                <w:sz w:val="22"/>
              </w:rPr>
              <w:t xml:space="preserve">OE duhet të dorëzoj </w:t>
            </w:r>
            <w:proofErr w:type="spellStart"/>
            <w:r w:rsidRPr="00140E7D">
              <w:rPr>
                <w:b/>
                <w:color w:val="0000FF"/>
                <w:sz w:val="22"/>
              </w:rPr>
              <w:t>garancion</w:t>
            </w:r>
            <w:proofErr w:type="spellEnd"/>
            <w:r w:rsidRPr="00140E7D">
              <w:rPr>
                <w:b/>
                <w:color w:val="0000FF"/>
                <w:sz w:val="22"/>
              </w:rPr>
              <w:t xml:space="preserve"> për kualitet të material me vlerë 5% e vlerës së kontratës me </w:t>
            </w:r>
            <w:proofErr w:type="spellStart"/>
            <w:r w:rsidRPr="00140E7D">
              <w:rPr>
                <w:b/>
                <w:color w:val="0000FF"/>
                <w:sz w:val="22"/>
              </w:rPr>
              <w:t>validitet</w:t>
            </w:r>
            <w:proofErr w:type="spellEnd"/>
            <w:r w:rsidRPr="00140E7D">
              <w:rPr>
                <w:b/>
                <w:color w:val="0000FF"/>
                <w:sz w:val="22"/>
              </w:rPr>
              <w:t xml:space="preserve"> sa periudha garantuese që oferton.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G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6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140E7D" w:rsidRPr="00690693" w:rsidTr="00140E7D">
              <w:trPr>
                <w:trHeight w:val="22"/>
              </w:trPr>
              <w:tc>
                <w:tcPr>
                  <w:tcW w:w="47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40E7D" w:rsidRPr="00475F1B" w:rsidRDefault="00140E7D" w:rsidP="00140E7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numPr>
                      <w:ilvl w:val="0"/>
                      <w:numId w:val="12"/>
                    </w:num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te ofroje dëshmi të  kënaqshme Autoritetit kontraktues së qarkullimi  vjetor i OE gjate periudhës (nga Njoftim për  Kontratë për periudhën e shkuar trevjeçare) arrin vlerën jo më pak se 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për: </w:t>
                  </w:r>
                  <w:r w:rsidRPr="00475F1B">
                    <w:rPr>
                      <w:b/>
                      <w:color w:val="0000C8"/>
                      <w:sz w:val="22"/>
                      <w:szCs w:val="22"/>
                    </w:rPr>
                    <w:t>166,000.00 €</w:t>
                  </w:r>
                </w:p>
                <w:p w:rsidR="00140E7D" w:rsidRPr="00475F1B" w:rsidRDefault="00140E7D" w:rsidP="00140E7D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40E7D" w:rsidRPr="00475F1B" w:rsidRDefault="00140E7D" w:rsidP="00140E7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(2020-2021-2022) nga njoftimi për kontratë ose deklarata nga 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140E7D" w:rsidRPr="00475F1B" w:rsidRDefault="00140E7D" w:rsidP="00140E7D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ab/>
                    <w:t xml:space="preserve">Lista e kontratave te nënshkruara dhe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vulsura</w:t>
                  </w:r>
                  <w:proofErr w:type="spellEnd"/>
                </w:p>
                <w:p w:rsidR="00140E7D" w:rsidRPr="00475F1B" w:rsidRDefault="00140E7D" w:rsidP="00140E7D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ab/>
                    <w:t>Kontrata</w:t>
                  </w:r>
                </w:p>
                <w:p w:rsidR="00140E7D" w:rsidRPr="00475F1B" w:rsidRDefault="00140E7D" w:rsidP="00140E7D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ab/>
                    <w:t>Referenca dhe</w:t>
                  </w:r>
                </w:p>
                <w:p w:rsidR="00140E7D" w:rsidRPr="00475F1B" w:rsidRDefault="00140E7D" w:rsidP="00140E7D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ab/>
                    <w:t>Raportet e pranimit të punëve-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sherbimeve</w:t>
                  </w:r>
                  <w:proofErr w:type="spellEnd"/>
                </w:p>
                <w:p w:rsidR="00140E7D" w:rsidRPr="00475F1B" w:rsidRDefault="00140E7D" w:rsidP="00140E7D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567"/>
              <w:gridCol w:w="4474"/>
            </w:tblGrid>
            <w:tr w:rsidR="00A431EF" w:rsidRPr="00690693" w:rsidTr="009F70FF">
              <w:trPr>
                <w:trHeight w:val="520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140E7D" w:rsidRPr="00690693" w:rsidTr="009F70FF">
              <w:trPr>
                <w:trHeight w:val="247"/>
              </w:trPr>
              <w:tc>
                <w:tcPr>
                  <w:tcW w:w="4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40E7D" w:rsidRPr="00475F1B" w:rsidRDefault="00140E7D" w:rsidP="00140E7D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te këtyre furnizimeve (Njoftim për Kontratë për periudhën e shkuar trevjeçare) në vlerë prej të gjitha së bashku jo më pak se </w:t>
                  </w:r>
                  <w:r w:rsidRPr="00475F1B">
                    <w:rPr>
                      <w:b/>
                      <w:color w:val="0000C8"/>
                      <w:sz w:val="22"/>
                      <w:szCs w:val="22"/>
                    </w:rPr>
                    <w:t>124,500.00 €</w:t>
                  </w:r>
                </w:p>
                <w:p w:rsidR="00140E7D" w:rsidRPr="00475F1B" w:rsidRDefault="00140E7D" w:rsidP="00140E7D">
                  <w:pPr>
                    <w:ind w:left="720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ind w:left="720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Menaxheri i kontratës -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Menaxheri i kontratës duhet të jetë inxhinieri i diplomuar i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ndërtimtarise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drejtimi konstruktiv me përvojë pune minimum 5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vjeqare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Stafi i lart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porfesional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3.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Arkitekturës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(l) </w:t>
                  </w:r>
                  <w:proofErr w:type="spellStart"/>
                  <w:proofErr w:type="gram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</w:t>
                  </w:r>
                  <w:proofErr w:type="spellEnd"/>
                  <w:proofErr w:type="gram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diplomuar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arkitekturës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mininiurh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5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Vite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përvoje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trajnuar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4.</w:t>
                  </w:r>
                  <w:r w:rsidRPr="00475F1B">
                    <w:rPr>
                      <w:color w:val="00000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(1)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diplomuar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Elektroteknikes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(1)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diplomuar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elektroteknikes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me minimum 5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Vite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përvoje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pas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diplomimit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certifikuar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140E7D" w:rsidRDefault="00140E7D" w:rsidP="00140E7D">
                  <w:pPr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5.</w:t>
                  </w:r>
                  <w:r w:rsidRPr="00475F1B"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(1)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diplomuar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Elektroenergjetikës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(l)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Bachelor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elektroenergjetikes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me minimum 5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Vite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përvoje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pas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diplomimit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certifikuar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mbrojtje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Zjarri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trajnuar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3.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Stafi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Lista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punëtoreve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OE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jetë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minimum 15 (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pesëmbëdhjetë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punëtor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pıınes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aktive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ku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prej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tyre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jenë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: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4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elektrikes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- 4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Saldues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çertifikuar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Bagerist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çertifıkuar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Prej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numrit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përgjithëshëm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stafit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paku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7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jenë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trajnuar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sz w:val="26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sz w:val="26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sz w:val="26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sz w:val="26"/>
                    </w:rPr>
                  </w:pP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sz w:val="26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sz w:val="26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1.Makineria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mjetet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Për makinerinë duhet të ofrohet lista e automjeteve të punës të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nenshkruara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dhe të vulosura në origjinal, të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deshmuara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me libreza 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të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regiistrimit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valide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, faturë për blerjen,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dpkumentin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unik doganor (DUD) në emër të kompanisë me të cilën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konkuron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ose grupit te operatoreve ekonomik të cilët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konkurojnë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ose mundë të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mirren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qera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këtë projekt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mirpo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marreveshja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jetë në emër të projektit dhe në kohëzgjatje të këtij projekti.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• Lista e mjeteve të punës të jenë të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nenshkruara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dhe të vulosura nga Operatori Ekonomik.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Kamion vinç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per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bartjen e materialit n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ë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kulme n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ë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lartesi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minimum 10 m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Bager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Kamionetë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bartjen e materialit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Kamionetë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ë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r transportimin e punëtorëve minimum I copë,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Pick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up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ë</w:t>
                  </w: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r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puntorë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minimum 1 copë.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-Dy (2) kamion me kapacitet minimum 10³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-Një (l) gjenerator me kapacitet minimal 15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kVA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Skeleri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Çekiq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elektrik (TRAPAN), shpuese, rrotulluese dhe daltë min. 3 copë.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-Pajisje matëse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laserike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5.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Vlersimi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riskut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kompani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licensuar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Ministria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Mirëqenies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Sociale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-MPMS</w:t>
                  </w:r>
                </w:p>
                <w:p w:rsidR="00140E7D" w:rsidRPr="00475F1B" w:rsidRDefault="00140E7D" w:rsidP="00140E7D">
                  <w:pPr>
                    <w:pStyle w:val="ListParagraph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4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40E7D" w:rsidRPr="00475F1B" w:rsidRDefault="00140E7D" w:rsidP="00140E7D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2.</w:t>
                  </w:r>
                  <w:r w:rsidRPr="00475F1B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Menaxherin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ketë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diplomen-kopjen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, me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apo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menaxherin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kontratës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due</w:t>
                  </w:r>
                </w:p>
                <w:p w:rsidR="00140E7D" w:rsidRPr="00475F1B" w:rsidRDefault="00140E7D" w:rsidP="00140E7D">
                  <w:pPr>
                    <w:ind w:left="137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Vendimi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caktimin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menaxherit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kontratës</w:t>
                  </w:r>
                  <w:proofErr w:type="spellEnd"/>
                </w:p>
                <w:p w:rsidR="00140E7D" w:rsidRPr="00475F1B" w:rsidRDefault="00140E7D" w:rsidP="00140E7D">
                  <w:pPr>
                    <w:ind w:left="137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Diploma-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kopja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,</w:t>
                  </w:r>
                </w:p>
                <w:p w:rsidR="00140E7D" w:rsidRPr="00475F1B" w:rsidRDefault="00140E7D" w:rsidP="00140E7D">
                  <w:pPr>
                    <w:ind w:left="137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ind w:left="137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Pervoja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pese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(5)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vjeqare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CV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nënshkruar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3.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akitektures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kenë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diplomat-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kopjet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apo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emer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CV-ja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nenshkruar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inxhinierët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Certifikatat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-Diploma/ Kopja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noterizuar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-Kontrata ose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parakontrata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në emër të projektit.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Pervoja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punës pesë (5)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vjeqare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-CV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neshkruar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vet inxhinieri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Çertifikat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per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Sigurine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dhe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Shendetin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ne Punë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</w:rPr>
                    <w:t>4.</w:t>
                  </w:r>
                  <w:r w:rsidRPr="00475F1B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elektroteknikes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kenë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diplomat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kopjet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apo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ab/>
                    <w:t xml:space="preserve">. </w:t>
                  </w:r>
                  <w:proofErr w:type="spellStart"/>
                  <w:proofErr w:type="gram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proofErr w:type="gram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emer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CV-ja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nenshkruar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inxhinierët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Diploma-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kopja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Pervoja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pese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(5)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vjeqare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CV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neshkruar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5.</w:t>
                  </w:r>
                  <w:r w:rsidRPr="00475F1B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elektoenergjetikes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kenë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diplomat-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kopjet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apo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emer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CV-ja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nënshkruar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inxhinierët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mbrojtje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zjarri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-Diploma/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kopja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Përvoja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pesë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(5)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vjeqare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-CV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neshkruar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mbrojtje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zjarri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Shendetin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3. 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paraqitet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Lista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Stafit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prej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minimum 15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punëtor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nënshkruar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vulosur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OE 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këtë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projekt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ind w:left="28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prezantohen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diplomat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stafın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dëshmohen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trajnimet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dëshmohen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stafi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saldim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Lista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stafit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Kontratat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parakontratat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-Diplomat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staftit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Çertifikat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bagerist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Çertifıkatat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salduesit</w:t>
                  </w:r>
                  <w:proofErr w:type="spellEnd"/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Lista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mjeteve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nënshkruara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vulosur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OE.</w:t>
                  </w:r>
                </w:p>
                <w:p w:rsidR="00140E7D" w:rsidRPr="00475F1B" w:rsidRDefault="00140E7D" w:rsidP="00140E7D">
                  <w:pPr>
                    <w:ind w:left="45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Libreza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regjsitrimit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valide</w:t>
                  </w:r>
                  <w:proofErr w:type="spellEnd"/>
                </w:p>
                <w:p w:rsidR="00140E7D" w:rsidRPr="00475F1B" w:rsidRDefault="00140E7D" w:rsidP="00140E7D">
                  <w:pPr>
                    <w:ind w:left="45"/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Faturë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blerjen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dokumentin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unik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lastRenderedPageBreak/>
                    <w:t>doganor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(DUD)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proofErr w:type="gram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5.Operatori</w:t>
                  </w:r>
                  <w:proofErr w:type="gram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Ekonomik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deshmoj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permes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raportit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vlersimin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riskut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kompani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licencuar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MPMS.</w:t>
                  </w:r>
                </w:p>
                <w:p w:rsidR="00140E7D" w:rsidRPr="00475F1B" w:rsidRDefault="00140E7D" w:rsidP="00140E7D">
                  <w:pPr>
                    <w:contextualSpacing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Raporti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vlersimit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75F1B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risku</w:t>
                  </w:r>
                  <w:proofErr w:type="spellEnd"/>
                </w:p>
              </w:tc>
            </w:tr>
            <w:tr w:rsidR="00213F44" w:rsidRPr="00690693" w:rsidTr="009F70FF">
              <w:trPr>
                <w:trHeight w:val="247"/>
              </w:trPr>
              <w:tc>
                <w:tcPr>
                  <w:tcW w:w="4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A37C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A37C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7A37C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7A37C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36A05" w:rsidP="00C36A05">
            <w:pPr>
              <w:rPr>
                <w:b/>
                <w:sz w:val="22"/>
                <w:szCs w:val="22"/>
              </w:rPr>
            </w:pPr>
            <w:r w:rsidRPr="00C36A05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36A05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7A37CA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7A37CA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C36A05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1"/>
            <w:r w:rsidR="00A40776" w:rsidRPr="00C36A0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sz w:val="22"/>
                <w:szCs w:val="22"/>
              </w:rPr>
            </w:r>
            <w:r w:rsidR="007A37C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C36A05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sz w:val="22"/>
                <w:szCs w:val="22"/>
              </w:rPr>
            </w:r>
            <w:r w:rsidR="007A37C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C36A05">
              <w:rPr>
                <w:b/>
                <w:sz w:val="22"/>
                <w:szCs w:val="22"/>
              </w:rPr>
              <w:t xml:space="preserve">  Konkurruese me negociata</w:t>
            </w:r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sz w:val="22"/>
                <w:szCs w:val="22"/>
              </w:rPr>
            </w:r>
            <w:r w:rsidR="007A37C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lastRenderedPageBreak/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C36A05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6A05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C36A05" w:rsidRDefault="00C36A05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6A05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C36A05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b/>
                      <w:bCs/>
                      <w:sz w:val="22"/>
                      <w:szCs w:val="22"/>
                    </w:rPr>
                  </w:r>
                  <w:r w:rsidR="007A37C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36A05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C36A05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6A05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C36A05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C36A05" w:rsidRDefault="00C36A05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6A05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 w:rsidRPr="00C36A05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b/>
                      <w:bCs/>
                      <w:sz w:val="22"/>
                      <w:szCs w:val="22"/>
                    </w:rPr>
                  </w:r>
                  <w:r w:rsidR="007A37C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36A05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C36A05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sz w:val="22"/>
                <w:szCs w:val="22"/>
              </w:rPr>
            </w:r>
            <w:r w:rsidR="007A37C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sz w:val="22"/>
                <w:szCs w:val="22"/>
              </w:rPr>
            </w:r>
            <w:r w:rsidR="007A37C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213F4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dokumentet 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e 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-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imit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C36A05">
              <w:rPr>
                <w:b/>
                <w:bCs/>
                <w:color w:val="0000C8"/>
                <w:sz w:val="22"/>
                <w:szCs w:val="22"/>
                <w:lang w:eastAsia="en-US"/>
              </w:rPr>
              <w:t>13</w:t>
            </w:r>
            <w:r w:rsidR="007A37CA">
              <w:rPr>
                <w:b/>
                <w:bCs/>
                <w:color w:val="0000C8"/>
                <w:sz w:val="22"/>
                <w:szCs w:val="22"/>
                <w:lang w:eastAsia="en-US"/>
              </w:rPr>
              <w:t>.11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C36A05">
              <w:rPr>
                <w:b/>
                <w:bCs/>
                <w:color w:val="0000C8"/>
                <w:sz w:val="22"/>
                <w:szCs w:val="22"/>
                <w:lang w:eastAsia="en-US"/>
              </w:rPr>
              <w:t>14.11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37CA">
              <w:rPr>
                <w:sz w:val="22"/>
                <w:szCs w:val="22"/>
              </w:rPr>
            </w:r>
            <w:r w:rsidR="007A3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FB587E" w:rsidRPr="00140E7D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FB587E" w:rsidRPr="00140E7D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7A37CA">
              <w:rPr>
                <w:b/>
                <w:color w:val="0000C8"/>
                <w:sz w:val="22"/>
                <w:szCs w:val="22"/>
              </w:rPr>
            </w:r>
            <w:r w:rsidR="007A37CA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FB587E" w:rsidRPr="00140E7D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3"/>
            <w:r w:rsidR="00410B40" w:rsidRPr="00140E7D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140E7D">
              <w:rPr>
                <w:b/>
                <w:color w:val="0000C8"/>
                <w:sz w:val="22"/>
                <w:szCs w:val="22"/>
              </w:rPr>
              <w:t>j</w:t>
            </w:r>
            <w:r w:rsidR="00604030" w:rsidRPr="00140E7D">
              <w:rPr>
                <w:b/>
                <w:color w:val="0000C8"/>
                <w:sz w:val="22"/>
                <w:szCs w:val="22"/>
              </w:rPr>
              <w:t>o</w:t>
            </w: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sz w:val="22"/>
                      <w:szCs w:val="22"/>
                    </w:rPr>
                  </w:r>
                  <w:r w:rsidR="007A3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A37C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7A37C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36A05">
              <w:rPr>
                <w:b/>
                <w:color w:val="0000C8"/>
                <w:sz w:val="22"/>
                <w:szCs w:val="22"/>
              </w:rPr>
              <w:t xml:space="preserve"> 6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D2" w:rsidRPr="000323C5" w:rsidRDefault="000E78D2" w:rsidP="000323C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0323C5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0323C5" w:rsidRDefault="00D86EB6" w:rsidP="000323C5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C8" w:rsidRDefault="00415CC8">
      <w:r>
        <w:separator/>
      </w:r>
    </w:p>
  </w:endnote>
  <w:endnote w:type="continuationSeparator" w:id="0">
    <w:p w:rsidR="00415CC8" w:rsidRDefault="0041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C8" w:rsidRDefault="00415CC8">
      <w:r>
        <w:separator/>
      </w:r>
    </w:p>
  </w:footnote>
  <w:footnote w:type="continuationSeparator" w:id="0">
    <w:p w:rsidR="00415CC8" w:rsidRDefault="0041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A37CA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A37CA" w:rsidRPr="00A6439B" w:rsidRDefault="007A37CA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A37CA" w:rsidRPr="00A6439B" w:rsidRDefault="007A37C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A37CA" w:rsidRPr="00A6439B" w:rsidRDefault="007A37CA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A37CA" w:rsidRPr="009B1B64" w:rsidRDefault="007A37CA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A37CA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A37CA" w:rsidRPr="00A6439B" w:rsidRDefault="007A37C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A37CA" w:rsidRPr="00A6439B" w:rsidRDefault="007A37CA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A37CA" w:rsidRPr="00A6439B" w:rsidRDefault="007A37CA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A37CA" w:rsidRPr="00A42DC6" w:rsidRDefault="007A37CA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47184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47184">
            <w:rPr>
              <w:bCs/>
              <w:noProof/>
              <w:sz w:val="18"/>
              <w:szCs w:val="18"/>
            </w:rPr>
            <w:t>8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A37CA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A37CA" w:rsidRPr="00A6439B" w:rsidRDefault="007A37C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A37CA" w:rsidRPr="009257A4" w:rsidRDefault="007A37C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A37CA" w:rsidRPr="00A6439B" w:rsidRDefault="007A37CA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A37CA" w:rsidRPr="00A6439B" w:rsidRDefault="007A37C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A37CA" w:rsidRDefault="007A37CA">
    <w:pPr>
      <w:tabs>
        <w:tab w:val="center" w:pos="4320"/>
        <w:tab w:val="right" w:pos="8640"/>
      </w:tabs>
      <w:rPr>
        <w:kern w:val="0"/>
      </w:rPr>
    </w:pPr>
  </w:p>
  <w:p w:rsidR="007A37CA" w:rsidRDefault="007A37C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23C5"/>
    <w:rsid w:val="00037AE6"/>
    <w:rsid w:val="00040E6C"/>
    <w:rsid w:val="00050391"/>
    <w:rsid w:val="00054CBE"/>
    <w:rsid w:val="00062E22"/>
    <w:rsid w:val="000634A1"/>
    <w:rsid w:val="00067135"/>
    <w:rsid w:val="00070FA8"/>
    <w:rsid w:val="00074E18"/>
    <w:rsid w:val="000A2C07"/>
    <w:rsid w:val="000A3EDA"/>
    <w:rsid w:val="000A5958"/>
    <w:rsid w:val="000B015F"/>
    <w:rsid w:val="000B7B5E"/>
    <w:rsid w:val="000E7882"/>
    <w:rsid w:val="000E78D2"/>
    <w:rsid w:val="000F0742"/>
    <w:rsid w:val="000F3B0C"/>
    <w:rsid w:val="000F438A"/>
    <w:rsid w:val="000F5E0F"/>
    <w:rsid w:val="00100F4A"/>
    <w:rsid w:val="0011066A"/>
    <w:rsid w:val="00112372"/>
    <w:rsid w:val="00113C58"/>
    <w:rsid w:val="00113EE9"/>
    <w:rsid w:val="00115F91"/>
    <w:rsid w:val="00117809"/>
    <w:rsid w:val="00126063"/>
    <w:rsid w:val="00140E7D"/>
    <w:rsid w:val="00145339"/>
    <w:rsid w:val="00151176"/>
    <w:rsid w:val="00155E02"/>
    <w:rsid w:val="001578F9"/>
    <w:rsid w:val="0016192E"/>
    <w:rsid w:val="00166A92"/>
    <w:rsid w:val="001919BD"/>
    <w:rsid w:val="00192F39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227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75EB6"/>
    <w:rsid w:val="00282F88"/>
    <w:rsid w:val="00283493"/>
    <w:rsid w:val="002841B7"/>
    <w:rsid w:val="002851E8"/>
    <w:rsid w:val="002A03C5"/>
    <w:rsid w:val="002A3BA2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7184"/>
    <w:rsid w:val="00367B25"/>
    <w:rsid w:val="003742E2"/>
    <w:rsid w:val="0037722E"/>
    <w:rsid w:val="00380F1B"/>
    <w:rsid w:val="0038546D"/>
    <w:rsid w:val="0038768D"/>
    <w:rsid w:val="003928C2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5CC8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31C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B7A0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34B"/>
    <w:rsid w:val="006E4C79"/>
    <w:rsid w:val="007030BC"/>
    <w:rsid w:val="007134D2"/>
    <w:rsid w:val="0072501D"/>
    <w:rsid w:val="0073235A"/>
    <w:rsid w:val="00737330"/>
    <w:rsid w:val="00744180"/>
    <w:rsid w:val="00745427"/>
    <w:rsid w:val="00772573"/>
    <w:rsid w:val="0078527C"/>
    <w:rsid w:val="0079433D"/>
    <w:rsid w:val="0079587D"/>
    <w:rsid w:val="007969C8"/>
    <w:rsid w:val="007A37CA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E6C"/>
    <w:rsid w:val="008279F3"/>
    <w:rsid w:val="008314D0"/>
    <w:rsid w:val="00833E0E"/>
    <w:rsid w:val="00836281"/>
    <w:rsid w:val="00843069"/>
    <w:rsid w:val="00843558"/>
    <w:rsid w:val="00846C4B"/>
    <w:rsid w:val="008529A5"/>
    <w:rsid w:val="00854FF0"/>
    <w:rsid w:val="00865296"/>
    <w:rsid w:val="008663C9"/>
    <w:rsid w:val="00866589"/>
    <w:rsid w:val="00876AAD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E7EEA"/>
    <w:rsid w:val="008F27D4"/>
    <w:rsid w:val="009007B5"/>
    <w:rsid w:val="009044D8"/>
    <w:rsid w:val="00913441"/>
    <w:rsid w:val="0091662F"/>
    <w:rsid w:val="00931454"/>
    <w:rsid w:val="00932368"/>
    <w:rsid w:val="00933386"/>
    <w:rsid w:val="00940567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70FF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18D9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36A05"/>
    <w:rsid w:val="00C40FEE"/>
    <w:rsid w:val="00C42809"/>
    <w:rsid w:val="00C45B98"/>
    <w:rsid w:val="00C51B7B"/>
    <w:rsid w:val="00C5529E"/>
    <w:rsid w:val="00C67405"/>
    <w:rsid w:val="00C756D0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47AE"/>
    <w:rsid w:val="00D31474"/>
    <w:rsid w:val="00D413F2"/>
    <w:rsid w:val="00D44B9E"/>
    <w:rsid w:val="00D55735"/>
    <w:rsid w:val="00D6192C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2AD0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973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5662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E32FB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8</cp:revision>
  <cp:lastPrinted>2011-06-03T08:36:00Z</cp:lastPrinted>
  <dcterms:created xsi:type="dcterms:W3CDTF">2023-10-11T08:02:00Z</dcterms:created>
  <dcterms:modified xsi:type="dcterms:W3CDTF">2023-10-24T11:15:00Z</dcterms:modified>
</cp:coreProperties>
</file>