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27243F" w:rsidRDefault="00C33B8A" w:rsidP="00C33B8A">
      <w:pPr>
        <w:jc w:val="center"/>
        <w:rPr>
          <w:b/>
          <w:i/>
          <w:iCs/>
          <w:sz w:val="22"/>
          <w:szCs w:val="22"/>
        </w:rPr>
      </w:pPr>
      <w:r w:rsidRPr="00AA5966">
        <w:rPr>
          <w:b/>
          <w:bCs/>
          <w:sz w:val="22"/>
          <w:szCs w:val="22"/>
        </w:rPr>
        <w:t>FURNIZIM</w:t>
      </w:r>
      <w:r w:rsidRPr="0027243F">
        <w:rPr>
          <w:b/>
          <w:i/>
          <w:sz w:val="22"/>
          <w:szCs w:val="22"/>
          <w:highlight w:val="lightGray"/>
        </w:rPr>
        <w:t xml:space="preserve">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3D5999">
        <w:rPr>
          <w:b/>
          <w:iCs/>
          <w:color w:val="0000C8"/>
          <w:sz w:val="22"/>
          <w:szCs w:val="22"/>
        </w:rPr>
        <w:t>22</w:t>
      </w:r>
      <w:r w:rsidR="0038399C">
        <w:rPr>
          <w:b/>
          <w:iCs/>
          <w:color w:val="0000C8"/>
          <w:sz w:val="22"/>
          <w:szCs w:val="22"/>
        </w:rPr>
        <w:t>.08</w:t>
      </w:r>
      <w:r w:rsidR="00AA5966">
        <w:rPr>
          <w:b/>
          <w:iCs/>
          <w:color w:val="0000C8"/>
          <w:sz w:val="22"/>
          <w:szCs w:val="22"/>
        </w:rPr>
        <w:t>.2023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CA3082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38399C">
              <w:rPr>
                <w:b/>
                <w:iCs/>
                <w:color w:val="0000C8"/>
                <w:sz w:val="22"/>
                <w:szCs w:val="22"/>
              </w:rPr>
              <w:t>125/07</w:t>
            </w:r>
            <w:r w:rsidR="00AA5966">
              <w:rPr>
                <w:b/>
                <w:iCs/>
                <w:color w:val="0000C8"/>
                <w:sz w:val="22"/>
                <w:szCs w:val="22"/>
              </w:rPr>
              <w:t>-2023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D22953">
              <w:rPr>
                <w:b/>
                <w:iCs/>
                <w:color w:val="0000C8"/>
                <w:sz w:val="22"/>
                <w:szCs w:val="22"/>
              </w:rPr>
            </w:r>
            <w:r w:rsidR="00D22953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AA5966">
              <w:rPr>
                <w:b/>
                <w:color w:val="0000FF"/>
                <w:sz w:val="22"/>
                <w:lang w:val="en-GB"/>
              </w:rPr>
              <w:t>Arbenita Kadriu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AA596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AA5966">
              <w:rPr>
                <w:b/>
                <w:iCs/>
                <w:color w:val="0000C8"/>
                <w:sz w:val="22"/>
                <w:szCs w:val="22"/>
              </w:rPr>
              <w:t>1192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AA5966">
              <w:rPr>
                <w:b/>
                <w:color w:val="0000FF"/>
                <w:sz w:val="22"/>
                <w:lang w:val="en-GB"/>
              </w:rPr>
              <w:t>Arbenita.kadriu</w:t>
            </w:r>
            <w:r w:rsidR="00AA5966" w:rsidRPr="0024599F">
              <w:rPr>
                <w:b/>
                <w:color w:val="0000FF"/>
                <w:sz w:val="22"/>
                <w:lang w:val="en-GB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D22953">
              <w:rPr>
                <w:b/>
                <w:iCs/>
                <w:color w:val="0000C8"/>
                <w:sz w:val="22"/>
                <w:szCs w:val="22"/>
              </w:rPr>
            </w:r>
            <w:r w:rsidR="00D22953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D22953">
              <w:rPr>
                <w:b/>
                <w:iCs/>
                <w:color w:val="0000C8"/>
                <w:sz w:val="22"/>
                <w:szCs w:val="22"/>
              </w:rPr>
            </w:r>
            <w:r w:rsidR="00D22953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3A713C" w:rsidRPr="0027243F" w:rsidRDefault="00AA5966" w:rsidP="003A71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</w:t>
            </w:r>
            <w:proofErr w:type="spellStart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>Pajisje</w:t>
            </w:r>
            <w:proofErr w:type="spellEnd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>elektrike</w:t>
            </w:r>
            <w:proofErr w:type="spellEnd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>Mekanike</w:t>
            </w:r>
            <w:proofErr w:type="spellEnd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>dhe</w:t>
            </w:r>
            <w:proofErr w:type="spellEnd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>Sanitare</w:t>
            </w:r>
            <w:proofErr w:type="spellEnd"/>
            <w:r w:rsidRPr="009E7F1F">
              <w:rPr>
                <w:b/>
                <w:iCs/>
                <w:color w:val="0000C8"/>
                <w:sz w:val="22"/>
                <w:szCs w:val="22"/>
              </w:rPr>
              <w:t>”</w:t>
            </w:r>
            <w:r w:rsidRPr="00690693">
              <w:rPr>
                <w:sz w:val="22"/>
                <w:szCs w:val="22"/>
              </w:rPr>
              <w:t xml:space="preserve">  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D22953">
              <w:rPr>
                <w:b/>
                <w:bCs/>
                <w:sz w:val="22"/>
                <w:szCs w:val="22"/>
              </w:rPr>
            </w:r>
            <w:r w:rsidR="00D22953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AA5966" w:rsidP="00ED28E6">
            <w:pPr>
              <w:rPr>
                <w:b/>
                <w:bCs/>
                <w:sz w:val="22"/>
                <w:szCs w:val="22"/>
              </w:rPr>
            </w:pPr>
            <w:r w:rsidRPr="007A569E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A569E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D22953">
              <w:rPr>
                <w:b/>
                <w:iCs/>
                <w:color w:val="0000C8"/>
                <w:sz w:val="22"/>
                <w:szCs w:val="22"/>
              </w:rPr>
            </w:r>
            <w:r w:rsidR="00D22953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A569E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A569E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D22953">
              <w:rPr>
                <w:b/>
                <w:bCs/>
                <w:sz w:val="22"/>
                <w:szCs w:val="22"/>
              </w:rPr>
            </w:r>
            <w:r w:rsidR="00D22953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A569E" w:rsidRDefault="00AA5966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A569E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A569E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D22953">
              <w:rPr>
                <w:b/>
                <w:iCs/>
                <w:color w:val="0000C8"/>
                <w:sz w:val="22"/>
                <w:szCs w:val="22"/>
              </w:rPr>
            </w:r>
            <w:r w:rsidR="00D22953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A569E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A569E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A569E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3D5999">
        <w:trPr>
          <w:trHeight w:val="1114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AA5966" w:rsidP="00ED28E6">
            <w:pPr>
              <w:rPr>
                <w:sz w:val="22"/>
                <w:szCs w:val="22"/>
              </w:rPr>
            </w:pPr>
            <w:r w:rsidRPr="0024599F">
              <w:rPr>
                <w:b/>
                <w:color w:val="0000FF"/>
                <w:sz w:val="22"/>
                <w:lang w:val="en-GB"/>
              </w:rPr>
              <w:t xml:space="preserve">KEDS </w:t>
            </w:r>
            <w:proofErr w:type="spellStart"/>
            <w:r w:rsidRPr="0024599F">
              <w:rPr>
                <w:b/>
                <w:color w:val="0000FF"/>
                <w:sz w:val="22"/>
                <w:lang w:val="en-GB"/>
              </w:rPr>
              <w:t>Prishtinë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17" w:name="Check12"/>
              <w:tc>
                <w:tcPr>
                  <w:tcW w:w="51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3D5999">
        <w:trPr>
          <w:trHeight w:val="64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1247D2" w:rsidRPr="0027243F" w:rsidRDefault="00AA59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</w:t>
            </w:r>
            <w:proofErr w:type="spellStart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>Pajisje</w:t>
            </w:r>
            <w:proofErr w:type="spellEnd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>elektrike</w:t>
            </w:r>
            <w:proofErr w:type="spellEnd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>Mekanike</w:t>
            </w:r>
            <w:proofErr w:type="spellEnd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>dhe</w:t>
            </w:r>
            <w:proofErr w:type="spellEnd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8399C" w:rsidRPr="0038399C">
              <w:rPr>
                <w:b/>
                <w:iCs/>
                <w:color w:val="0000C8"/>
                <w:sz w:val="22"/>
                <w:szCs w:val="22"/>
                <w:lang w:val="en-GB"/>
              </w:rPr>
              <w:t>Sanitare</w:t>
            </w:r>
            <w:proofErr w:type="spellEnd"/>
            <w:r w:rsidRPr="009E7F1F">
              <w:rPr>
                <w:b/>
                <w:iCs/>
                <w:color w:val="0000C8"/>
                <w:sz w:val="22"/>
                <w:szCs w:val="22"/>
              </w:rPr>
              <w:t>”</w:t>
            </w:r>
            <w:r w:rsidRPr="00690693">
              <w:rPr>
                <w:sz w:val="22"/>
                <w:szCs w:val="22"/>
              </w:rPr>
              <w:t xml:space="preserve">  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38399C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38399C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38399C" w:rsidRDefault="00EA58D3" w:rsidP="00E3021D">
                  <w:pPr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</w:pPr>
                  <w:r w:rsidRPr="0038399C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  <w:t>J</w:t>
                  </w:r>
                  <w:r w:rsidR="00E3021D" w:rsidRPr="0038399C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38399C" w:rsidRDefault="00AA5966" w:rsidP="00E3021D">
                  <w:pPr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</w:pPr>
                  <w:r w:rsidRPr="0038399C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38399C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  <w:instrText xml:space="preserve"> FORMCHECKBOX </w:instrText>
                  </w:r>
                  <w:r w:rsidR="00D22953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</w:r>
                  <w:r w:rsidR="00D22953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38399C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86"/>
            </w:tblGrid>
            <w:tr w:rsidR="00983E5A" w:rsidRPr="0027243F" w:rsidTr="0038399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4" w:name="Check19"/>
              <w:tc>
                <w:tcPr>
                  <w:tcW w:w="794" w:type="dxa"/>
                  <w:vAlign w:val="center"/>
                </w:tcPr>
                <w:p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38399C" w:rsidRDefault="00EA58D3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</w:pPr>
                  <w:r w:rsidRPr="0038399C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  <w:t>J</w:t>
                  </w:r>
                  <w:r w:rsidR="00983E5A" w:rsidRPr="0038399C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  <w:t>o</w:t>
                  </w:r>
                </w:p>
              </w:tc>
              <w:tc>
                <w:tcPr>
                  <w:tcW w:w="586" w:type="dxa"/>
                  <w:vAlign w:val="center"/>
                </w:tcPr>
                <w:p w:rsidR="00983E5A" w:rsidRPr="0038399C" w:rsidRDefault="00AA5966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</w:pPr>
                  <w:r w:rsidRPr="0038399C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38399C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  <w:instrText xml:space="preserve"> FORMCHECKBOX </w:instrText>
                  </w:r>
                  <w:r w:rsidR="00D22953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</w:r>
                  <w:r w:rsidR="00D22953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38399C">
                    <w:rPr>
                      <w:b/>
                      <w:iCs/>
                      <w:color w:val="0000C8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27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  <w:r w:rsidR="001247D2">
              <w:rPr>
                <w:i/>
                <w:iCs/>
                <w:sz w:val="22"/>
                <w:szCs w:val="22"/>
              </w:rPr>
              <w:t xml:space="preserve"> N/A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AA5966" w:rsidRDefault="00AC3717" w:rsidP="00E25B91">
            <w:pPr>
              <w:rPr>
                <w:b/>
                <w:color w:val="0000FF"/>
                <w:sz w:val="22"/>
                <w:lang w:val="de-DE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38399C">
              <w:rPr>
                <w:b/>
                <w:color w:val="0000FF"/>
                <w:sz w:val="22"/>
                <w:lang w:val="de-DE"/>
              </w:rPr>
              <w:t>26,520</w:t>
            </w:r>
            <w:r w:rsidR="00AA5966" w:rsidRPr="00AA5966">
              <w:rPr>
                <w:b/>
                <w:color w:val="0000FF"/>
                <w:sz w:val="22"/>
                <w:lang w:val="de-DE"/>
              </w:rPr>
              <w:t xml:space="preserve">.00 </w:t>
            </w:r>
            <w:r w:rsidR="00AA5966" w:rsidRPr="00CF2CBD">
              <w:rPr>
                <w:b/>
                <w:color w:val="0000FF"/>
                <w:sz w:val="22"/>
                <w:lang w:val="de-DE"/>
              </w:rPr>
              <w:t>Euro pa TVSH</w:t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Pr="0027243F" w:rsidRDefault="0038546D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Pr="0027243F" w:rsidRDefault="001247D2" w:rsidP="001247D2">
            <w:pPr>
              <w:rPr>
                <w:sz w:val="22"/>
                <w:szCs w:val="22"/>
              </w:rPr>
            </w:pPr>
            <w:r w:rsidRPr="009C2E64">
              <w:rPr>
                <w:b/>
                <w:color w:val="0000C8"/>
                <w:sz w:val="24"/>
                <w:szCs w:val="24"/>
              </w:rPr>
              <w:t>Sipas specifikave teknike të përshkruara edhe ne Listën e Çmimeve.</w:t>
            </w:r>
            <w:r w:rsidRPr="0027243F">
              <w:rPr>
                <w:sz w:val="22"/>
                <w:szCs w:val="22"/>
              </w:rPr>
              <w:t xml:space="preserve"> </w:t>
            </w: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99" w:rsidRPr="003D5999" w:rsidRDefault="003D5999" w:rsidP="003D5999">
            <w:pPr>
              <w:rPr>
                <w:b/>
                <w:color w:val="0000FF"/>
                <w:sz w:val="22"/>
                <w:lang w:val="en-GB"/>
              </w:rPr>
            </w:pP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Fillon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me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nënshkrimin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e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kontratës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dhe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përfundon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pas 12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muaj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>.</w:t>
            </w:r>
          </w:p>
          <w:p w:rsidR="0038546D" w:rsidRPr="0027243F" w:rsidRDefault="003D5999" w:rsidP="003D5999">
            <w:pPr>
              <w:rPr>
                <w:sz w:val="22"/>
                <w:szCs w:val="22"/>
              </w:rPr>
            </w:pP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lastRenderedPageBreak/>
              <w:t>Afati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i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liferimit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do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të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jetë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në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bazë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të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kërkesës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së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Projekt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Menaxherit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gjatë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periudhës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 xml:space="preserve"> 12 </w:t>
            </w:r>
            <w:proofErr w:type="spellStart"/>
            <w:r w:rsidRPr="003D5999">
              <w:rPr>
                <w:b/>
                <w:color w:val="0000FF"/>
                <w:sz w:val="22"/>
                <w:lang w:val="en-GB"/>
              </w:rPr>
              <w:t>mujore</w:t>
            </w:r>
            <w:proofErr w:type="spellEnd"/>
            <w:r w:rsidRPr="003D5999">
              <w:rPr>
                <w:b/>
                <w:color w:val="0000FF"/>
                <w:sz w:val="22"/>
                <w:lang w:val="en-GB"/>
              </w:rPr>
              <w:t>.</w:t>
            </w: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27243F" w:rsidRDefault="003D5999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9" w:name="Check25"/>
              <w:tc>
                <w:tcPr>
                  <w:tcW w:w="514" w:type="dxa"/>
                  <w:vAlign w:val="center"/>
                </w:tcPr>
                <w:p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3D5999">
            <w:pPr>
              <w:rPr>
                <w:sz w:val="22"/>
                <w:szCs w:val="22"/>
              </w:rPr>
            </w:pPr>
            <w:r w:rsidRPr="009C7283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Shuma e Sigurisë së Ekzekutimit është dhjetë </w:t>
            </w:r>
            <w:proofErr w:type="spellStart"/>
            <w:r w:rsidRPr="009C7283">
              <w:rPr>
                <w:b/>
                <w:bCs/>
                <w:color w:val="0000C8"/>
                <w:sz w:val="22"/>
                <w:szCs w:val="22"/>
                <w:lang w:eastAsia="en-US"/>
              </w:rPr>
              <w:t>përqind</w:t>
            </w:r>
            <w:proofErr w:type="spellEnd"/>
            <w:r w:rsidRPr="009C7283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10 %  për kohëzgjatjen e periudhës prej 30 ditë pas përfundimit të kontratës.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1247D2" w:rsidRDefault="002003A1" w:rsidP="002003A1">
            <w:pPr>
              <w:rPr>
                <w:b/>
                <w:color w:val="0000FF"/>
                <w:sz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</w:t>
            </w:r>
            <w:r w:rsidRPr="001247D2">
              <w:rPr>
                <w:b/>
                <w:color w:val="0000FF"/>
                <w:sz w:val="22"/>
              </w:rPr>
              <w:t>.2.1</w:t>
            </w:r>
            <w:r w:rsidR="00F7522F" w:rsidRPr="001247D2">
              <w:rPr>
                <w:b/>
                <w:color w:val="0000FF"/>
                <w:sz w:val="22"/>
              </w:rPr>
              <w:t>)</w:t>
            </w:r>
            <w:r w:rsidRPr="001247D2">
              <w:rPr>
                <w:b/>
                <w:color w:val="0000FF"/>
                <w:sz w:val="22"/>
              </w:rPr>
              <w:t xml:space="preserve">  </w:t>
            </w:r>
            <w:r w:rsidR="00AA32ED" w:rsidRPr="001247D2">
              <w:rPr>
                <w:b/>
                <w:color w:val="0000FF"/>
                <w:sz w:val="22"/>
              </w:rPr>
              <w:t>Kërkesat e përshtatshmërisë</w:t>
            </w:r>
            <w:r w:rsidR="00BE6E43" w:rsidRPr="001247D2">
              <w:rPr>
                <w:b/>
                <w:color w:val="0000FF"/>
                <w:sz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1247D2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Dëshmia e kërkuar dokumentare:</w:t>
                  </w:r>
                </w:p>
              </w:tc>
            </w:tr>
            <w:tr w:rsidR="004A09A4" w:rsidRPr="001247D2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2" w:name="Uvjet_23"/>
                  <w:r w:rsidRPr="001247D2">
                    <w:rPr>
                      <w:b/>
                      <w:color w:val="0000FF"/>
                      <w:sz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3" w:name="Uvjet_23_Min"/>
                  <w:r w:rsidRPr="001247D2">
                    <w:rPr>
                      <w:b/>
                      <w:color w:val="0000FF"/>
                      <w:sz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1247D2" w:rsidRDefault="00FB142A" w:rsidP="00FB142A">
            <w:pPr>
              <w:rPr>
                <w:b/>
                <w:color w:val="0000FF"/>
                <w:sz w:val="22"/>
              </w:rPr>
            </w:pPr>
            <w:r w:rsidRPr="001247D2">
              <w:rPr>
                <w:b/>
                <w:color w:val="0000FF"/>
                <w:sz w:val="22"/>
              </w:rPr>
              <w:t>III.2.2</w:t>
            </w:r>
            <w:r w:rsidR="00F7522F" w:rsidRPr="001247D2">
              <w:rPr>
                <w:b/>
                <w:color w:val="0000FF"/>
                <w:sz w:val="22"/>
              </w:rPr>
              <w:t>)</w:t>
            </w:r>
            <w:r w:rsidRPr="001247D2">
              <w:rPr>
                <w:b/>
                <w:color w:val="0000FF"/>
                <w:sz w:val="22"/>
              </w:rPr>
              <w:t xml:space="preserve"> </w:t>
            </w:r>
            <w:r w:rsidR="00AA32ED" w:rsidRPr="001247D2">
              <w:rPr>
                <w:b/>
                <w:color w:val="0000FF"/>
                <w:sz w:val="22"/>
              </w:rPr>
              <w:t>Përshtatshmëria profesionale</w:t>
            </w:r>
            <w:r w:rsidR="00BE6E43" w:rsidRPr="001247D2">
              <w:rPr>
                <w:b/>
                <w:color w:val="0000FF"/>
                <w:sz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1247D2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Dëshmia e kërkuar dokumentare:</w:t>
                  </w:r>
                </w:p>
              </w:tc>
            </w:tr>
            <w:tr w:rsidR="004A09A4" w:rsidRPr="001247D2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4" w:name="RANGE!G17"/>
                  <w:r w:rsidRPr="001247D2">
                    <w:rPr>
                      <w:b/>
                      <w:color w:val="0000FF"/>
                      <w:sz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bookmarkStart w:id="35" w:name="RANGE!H17"/>
                  <w:r w:rsidRPr="001247D2">
                    <w:rPr>
                      <w:b/>
                      <w:color w:val="0000FF"/>
                      <w:sz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1247D2">
                    <w:rPr>
                      <w:b/>
                      <w:color w:val="0000FF"/>
                      <w:sz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1247D2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2. Certifikata e TVSH-së (kopje).</w:t>
                  </w:r>
                </w:p>
              </w:tc>
            </w:tr>
            <w:tr w:rsidR="004A09A4" w:rsidRPr="001247D2" w:rsidTr="001247D2">
              <w:trPr>
                <w:trHeight w:val="1061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:rsidR="00FB142A" w:rsidRPr="001247D2" w:rsidRDefault="00FB142A" w:rsidP="004A09A4">
            <w:pPr>
              <w:rPr>
                <w:b/>
                <w:color w:val="0000FF"/>
                <w:sz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1247D2" w:rsidRDefault="002003A1" w:rsidP="002003A1">
            <w:pPr>
              <w:rPr>
                <w:b/>
                <w:color w:val="0000FF"/>
                <w:sz w:val="22"/>
              </w:rPr>
            </w:pPr>
            <w:r w:rsidRPr="001247D2">
              <w:rPr>
                <w:b/>
                <w:color w:val="0000FF"/>
                <w:sz w:val="22"/>
              </w:rPr>
              <w:t>III.2.</w:t>
            </w:r>
            <w:r w:rsidR="00FB142A" w:rsidRPr="001247D2">
              <w:rPr>
                <w:b/>
                <w:color w:val="0000FF"/>
                <w:sz w:val="22"/>
              </w:rPr>
              <w:t>3</w:t>
            </w:r>
            <w:r w:rsidR="00F7522F" w:rsidRPr="001247D2">
              <w:rPr>
                <w:b/>
                <w:color w:val="0000FF"/>
                <w:sz w:val="22"/>
              </w:rPr>
              <w:t>)</w:t>
            </w:r>
            <w:r w:rsidRPr="001247D2">
              <w:rPr>
                <w:b/>
                <w:color w:val="0000FF"/>
                <w:sz w:val="22"/>
              </w:rPr>
              <w:t xml:space="preserve"> </w:t>
            </w:r>
            <w:r w:rsidR="00AA32ED" w:rsidRPr="001247D2">
              <w:rPr>
                <w:b/>
                <w:color w:val="0000FF"/>
                <w:sz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760"/>
              <w:gridCol w:w="4552"/>
            </w:tblGrid>
            <w:tr w:rsidR="004A09A4" w:rsidRPr="001247D2" w:rsidTr="004A09A4">
              <w:trPr>
                <w:trHeight w:val="600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Kapaciteti  ekonomik dhe financiar:</w:t>
                  </w:r>
                </w:p>
              </w:tc>
              <w:tc>
                <w:tcPr>
                  <w:tcW w:w="4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Dëshmia e kërkuar dokumentare:</w:t>
                  </w:r>
                </w:p>
              </w:tc>
            </w:tr>
            <w:tr w:rsidR="004A09A4" w:rsidRPr="001247D2" w:rsidTr="004A09A4">
              <w:trPr>
                <w:trHeight w:val="22"/>
              </w:trPr>
              <w:tc>
                <w:tcPr>
                  <w:tcW w:w="4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1247D2" w:rsidRDefault="004A09A4" w:rsidP="004A09A4">
                  <w:pPr>
                    <w:rPr>
                      <w:b/>
                      <w:color w:val="0000FF"/>
                      <w:sz w:val="22"/>
                    </w:rPr>
                  </w:pPr>
                </w:p>
              </w:tc>
            </w:tr>
          </w:tbl>
          <w:p w:rsidR="004A09A4" w:rsidRPr="001247D2" w:rsidRDefault="004A09A4" w:rsidP="004A09A4">
            <w:pPr>
              <w:rPr>
                <w:b/>
                <w:color w:val="0000FF"/>
                <w:sz w:val="22"/>
              </w:rPr>
            </w:pPr>
          </w:p>
          <w:p w:rsidR="002003A1" w:rsidRPr="001247D2" w:rsidRDefault="002003A1" w:rsidP="00FB142A">
            <w:pPr>
              <w:rPr>
                <w:b/>
                <w:color w:val="0000FF"/>
                <w:sz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1247D2" w:rsidRDefault="002003A1" w:rsidP="002003A1">
            <w:pPr>
              <w:rPr>
                <w:b/>
                <w:color w:val="0000FF"/>
                <w:sz w:val="22"/>
              </w:rPr>
            </w:pPr>
            <w:r w:rsidRPr="001247D2">
              <w:rPr>
                <w:b/>
                <w:color w:val="0000FF"/>
                <w:sz w:val="22"/>
              </w:rPr>
              <w:t>III.2.</w:t>
            </w:r>
            <w:r w:rsidR="00FB142A" w:rsidRPr="001247D2">
              <w:rPr>
                <w:b/>
                <w:color w:val="0000FF"/>
                <w:sz w:val="22"/>
              </w:rPr>
              <w:t>4</w:t>
            </w:r>
            <w:r w:rsidR="00F7522F" w:rsidRPr="001247D2">
              <w:rPr>
                <w:b/>
                <w:color w:val="0000FF"/>
                <w:sz w:val="22"/>
              </w:rPr>
              <w:t>)</w:t>
            </w:r>
            <w:r w:rsidRPr="001247D2">
              <w:rPr>
                <w:b/>
                <w:color w:val="0000FF"/>
                <w:sz w:val="22"/>
              </w:rPr>
              <w:t xml:space="preserve"> </w:t>
            </w:r>
            <w:r w:rsidR="00AA32ED" w:rsidRPr="001247D2">
              <w:rPr>
                <w:b/>
                <w:color w:val="0000FF"/>
                <w:sz w:val="22"/>
              </w:rPr>
              <w:t>Kapaciteti teknik dhe profesional</w:t>
            </w:r>
          </w:p>
          <w:p w:rsidR="002003A1" w:rsidRPr="001247D2" w:rsidRDefault="002003A1" w:rsidP="004A09A4">
            <w:pPr>
              <w:rPr>
                <w:b/>
                <w:color w:val="0000FF"/>
                <w:sz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335"/>
              <w:gridCol w:w="4706"/>
            </w:tblGrid>
            <w:tr w:rsidR="00A431EF" w:rsidRPr="001247D2" w:rsidTr="009553B9">
              <w:trPr>
                <w:trHeight w:val="520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1247D2" w:rsidRDefault="00A431EF" w:rsidP="00A431EF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Kapaciteti teknik dhe profesional:</w:t>
                  </w:r>
                </w:p>
              </w:tc>
              <w:tc>
                <w:tcPr>
                  <w:tcW w:w="4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1247D2" w:rsidRDefault="00A431EF" w:rsidP="00A431EF">
                  <w:pPr>
                    <w:rPr>
                      <w:b/>
                      <w:color w:val="0000FF"/>
                      <w:sz w:val="22"/>
                    </w:rPr>
                  </w:pPr>
                  <w:r w:rsidRPr="001247D2">
                    <w:rPr>
                      <w:b/>
                      <w:color w:val="0000FF"/>
                      <w:sz w:val="22"/>
                    </w:rPr>
                    <w:t>Dëshmia e kërkuar dokumentare</w:t>
                  </w:r>
                </w:p>
              </w:tc>
            </w:tr>
            <w:tr w:rsidR="00A431EF" w:rsidRPr="001247D2" w:rsidTr="009553B9">
              <w:trPr>
                <w:trHeight w:val="247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1247D2" w:rsidRDefault="00AA5966" w:rsidP="00A431EF">
                  <w:pPr>
                    <w:rPr>
                      <w:b/>
                      <w:color w:val="0000FF"/>
                      <w:sz w:val="22"/>
                    </w:rPr>
                  </w:pPr>
                  <w:r w:rsidRPr="0052467E">
                    <w:rPr>
                      <w:b/>
                      <w:color w:val="0000FF"/>
                      <w:sz w:val="22"/>
                    </w:rPr>
                    <w:lastRenderedPageBreak/>
                    <w:t>Referencat që dëshmojnë</w:t>
                  </w:r>
                  <w:r w:rsidRPr="0052467E">
                    <w:rPr>
                      <w:rFonts w:hint="eastAsia"/>
                      <w:b/>
                      <w:color w:val="0000FF"/>
                      <w:sz w:val="22"/>
                    </w:rPr>
                    <w:t xml:space="preserve"> p</w:t>
                  </w:r>
                  <w:r w:rsidRPr="0052467E">
                    <w:rPr>
                      <w:b/>
                      <w:color w:val="0000FF"/>
                      <w:sz w:val="22"/>
                    </w:rPr>
                    <w:t>ërvojën tuaj në këtë veprimtari.</w:t>
                  </w: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Pr="001247D2" w:rsidRDefault="00AA5966" w:rsidP="00A431EF">
                  <w:pPr>
                    <w:rPr>
                      <w:b/>
                      <w:color w:val="0000FF"/>
                      <w:sz w:val="22"/>
                    </w:rPr>
                  </w:pPr>
                  <w:r w:rsidRPr="0052467E">
                    <w:rPr>
                      <w:b/>
                      <w:color w:val="0000FF"/>
                      <w:sz w:val="22"/>
                    </w:rPr>
                    <w:t>Referencat që dëshmojnë</w:t>
                  </w:r>
                  <w:r w:rsidRPr="0052467E">
                    <w:rPr>
                      <w:rFonts w:hint="eastAsia"/>
                      <w:b/>
                      <w:color w:val="0000FF"/>
                      <w:sz w:val="22"/>
                    </w:rPr>
                    <w:t xml:space="preserve"> p</w:t>
                  </w:r>
                  <w:r w:rsidRPr="0052467E">
                    <w:rPr>
                      <w:b/>
                      <w:color w:val="0000FF"/>
                      <w:sz w:val="22"/>
                    </w:rPr>
                    <w:t>ërvojën tuaj në këtë veprimtari.</w:t>
                  </w:r>
                </w:p>
              </w:tc>
            </w:tr>
          </w:tbl>
          <w:p w:rsidR="00A431EF" w:rsidRPr="001247D2" w:rsidRDefault="00A431EF" w:rsidP="004A09A4">
            <w:pPr>
              <w:rPr>
                <w:b/>
                <w:color w:val="0000FF"/>
                <w:sz w:val="22"/>
              </w:rPr>
            </w:pPr>
          </w:p>
          <w:p w:rsidR="00A431EF" w:rsidRPr="001247D2" w:rsidRDefault="00A431EF" w:rsidP="004A09A4">
            <w:pPr>
              <w:rPr>
                <w:b/>
                <w:color w:val="0000FF"/>
                <w:sz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7" w:name="Check29"/>
              <w:tc>
                <w:tcPr>
                  <w:tcW w:w="544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9" w:name="Check31"/>
              <w:tc>
                <w:tcPr>
                  <w:tcW w:w="51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003A1" w:rsidRPr="0027243F" w:rsidRDefault="002003A1">
      <w:pPr>
        <w:rPr>
          <w:b/>
          <w:bCs/>
          <w:sz w:val="22"/>
          <w:szCs w:val="22"/>
        </w:rPr>
      </w:pPr>
    </w:p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AA5966" w:rsidP="00007A70">
            <w:pPr>
              <w:rPr>
                <w:b/>
                <w:sz w:val="22"/>
                <w:szCs w:val="22"/>
              </w:rPr>
            </w:pPr>
            <w:r w:rsidRPr="001247D2">
              <w:rPr>
                <w:b/>
                <w:color w:val="0000FF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0" w:name="Check32"/>
            <w:r w:rsidRPr="001247D2">
              <w:rPr>
                <w:b/>
                <w:color w:val="0000FF"/>
                <w:sz w:val="22"/>
              </w:rPr>
              <w:instrText xml:space="preserve"> FORMCHECKBOX </w:instrText>
            </w:r>
            <w:r w:rsidR="00D22953">
              <w:rPr>
                <w:b/>
                <w:color w:val="0000FF"/>
                <w:sz w:val="22"/>
              </w:rPr>
            </w:r>
            <w:r w:rsidR="00D22953">
              <w:rPr>
                <w:b/>
                <w:color w:val="0000FF"/>
                <w:sz w:val="22"/>
              </w:rPr>
              <w:fldChar w:fldCharType="separate"/>
            </w:r>
            <w:r w:rsidRPr="001247D2">
              <w:rPr>
                <w:b/>
                <w:color w:val="0000FF"/>
                <w:sz w:val="22"/>
              </w:rPr>
              <w:fldChar w:fldCharType="end"/>
            </w:r>
            <w:bookmarkEnd w:id="40"/>
            <w:r w:rsidR="00A40776" w:rsidRPr="001247D2">
              <w:rPr>
                <w:b/>
                <w:color w:val="0000FF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D22953">
              <w:rPr>
                <w:b/>
                <w:sz w:val="22"/>
                <w:szCs w:val="22"/>
              </w:rPr>
            </w:r>
            <w:r w:rsidR="00D22953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D22953">
              <w:rPr>
                <w:b/>
                <w:sz w:val="22"/>
                <w:szCs w:val="22"/>
              </w:rPr>
            </w:r>
            <w:r w:rsidR="00D22953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D22953">
              <w:rPr>
                <w:b/>
                <w:sz w:val="22"/>
                <w:szCs w:val="22"/>
              </w:rPr>
            </w:r>
            <w:r w:rsidR="00D22953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B907F8" w:rsidRPr="0027243F" w:rsidRDefault="00B907F8" w:rsidP="001247D2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7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D22953">
              <w:rPr>
                <w:b/>
                <w:sz w:val="22"/>
                <w:szCs w:val="22"/>
              </w:rPr>
            </w:r>
            <w:r w:rsidR="00D22953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5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D22953">
              <w:rPr>
                <w:b/>
                <w:sz w:val="22"/>
                <w:szCs w:val="22"/>
              </w:rPr>
            </w:r>
            <w:r w:rsidR="00D22953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27243F" w:rsidTr="007A569E">
        <w:trPr>
          <w:trHeight w:val="151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8" w:name="Check40"/>
              <w:tc>
                <w:tcPr>
                  <w:tcW w:w="51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7E52A5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dosjes së tenderit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</w:t>
            </w:r>
            <w:r w:rsidR="00AA5966">
              <w:rPr>
                <w:b/>
                <w:bCs/>
                <w:i/>
                <w:sz w:val="22"/>
                <w:szCs w:val="22"/>
                <w:highlight w:val="lightGray"/>
              </w:rPr>
              <w:t xml:space="preserve"> 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Pr="0027243F" w:rsidRDefault="00166A92" w:rsidP="007373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="006D5B66" w:rsidRPr="0027243F">
              <w:rPr>
                <w:i/>
                <w:sz w:val="22"/>
                <w:szCs w:val="22"/>
              </w:rPr>
              <w:t xml:space="preserve"> </w:t>
            </w:r>
            <w:r w:rsidR="00A04628"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Pr="0027243F">
              <w:rPr>
                <w:i/>
                <w:sz w:val="22"/>
                <w:szCs w:val="22"/>
                <w:highlight w:val="lightGray"/>
              </w:rPr>
              <w:t>dosj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en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e tenderit</w:t>
            </w:r>
            <w:r w:rsidR="00A04628" w:rsidRPr="0027243F">
              <w:rPr>
                <w:i/>
                <w:sz w:val="22"/>
                <w:szCs w:val="22"/>
                <w:highlight w:val="lightGray"/>
              </w:rPr>
              <w:t>]</w:t>
            </w:r>
            <w:r w:rsidR="006D5B66" w:rsidRPr="0027243F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A04628"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C16CF2" w:rsidRPr="0027243F">
              <w:rPr>
                <w:i/>
                <w:sz w:val="22"/>
                <w:szCs w:val="22"/>
                <w:highlight w:val="lightGray"/>
              </w:rPr>
              <w:t xml:space="preserve">dokumentet 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 xml:space="preserve">e </w:t>
            </w:r>
            <w:r w:rsidR="00C16CF2" w:rsidRPr="0027243F">
              <w:rPr>
                <w:i/>
                <w:sz w:val="22"/>
                <w:szCs w:val="22"/>
                <w:highlight w:val="lightGray"/>
              </w:rPr>
              <w:t>para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-</w:t>
            </w:r>
            <w:r w:rsidR="00C16CF2" w:rsidRPr="0027243F">
              <w:rPr>
                <w:i/>
                <w:sz w:val="22"/>
                <w:szCs w:val="22"/>
                <w:highlight w:val="lightGray"/>
              </w:rPr>
              <w:t>kualifik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imit</w:t>
            </w:r>
            <w:r w:rsidR="00A04628" w:rsidRPr="0027243F">
              <w:rPr>
                <w:i/>
                <w:sz w:val="22"/>
                <w:szCs w:val="22"/>
                <w:highlight w:val="lightGray"/>
              </w:rPr>
              <w:t>]</w:t>
            </w:r>
            <w:r w:rsidR="003C5D9A" w:rsidRPr="0027243F">
              <w:rPr>
                <w:sz w:val="22"/>
                <w:szCs w:val="22"/>
              </w:rPr>
              <w:t xml:space="preserve">: 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3D5999">
              <w:rPr>
                <w:b/>
                <w:color w:val="0000FF"/>
                <w:sz w:val="22"/>
              </w:rPr>
              <w:t>08</w:t>
            </w:r>
            <w:r w:rsidR="00655ECC">
              <w:rPr>
                <w:b/>
                <w:color w:val="0000FF"/>
                <w:sz w:val="22"/>
              </w:rPr>
              <w:t>.09</w:t>
            </w:r>
            <w:r w:rsidR="007A569E" w:rsidRPr="00CF2CBD">
              <w:rPr>
                <w:b/>
                <w:color w:val="0000FF"/>
                <w:sz w:val="22"/>
              </w:rPr>
              <w:t>.202</w:t>
            </w:r>
            <w:r w:rsidR="007A569E">
              <w:rPr>
                <w:b/>
                <w:color w:val="0000FF"/>
                <w:sz w:val="22"/>
              </w:rPr>
              <w:t>3</w:t>
            </w:r>
            <w:r w:rsidR="007A569E" w:rsidRPr="004A4C4A">
              <w:rPr>
                <w:i/>
                <w:sz w:val="22"/>
                <w:szCs w:val="22"/>
              </w:rPr>
              <w:t xml:space="preserve">  </w:t>
            </w:r>
            <w:r w:rsidR="007A569E" w:rsidRPr="00F42124">
              <w:rPr>
                <w:b/>
                <w:bCs/>
                <w:sz w:val="22"/>
                <w:szCs w:val="22"/>
              </w:rPr>
              <w:t xml:space="preserve"> </w:t>
            </w:r>
            <w:r w:rsidR="007A569E" w:rsidRPr="0027243F">
              <w:rPr>
                <w:sz w:val="22"/>
                <w:szCs w:val="22"/>
              </w:rPr>
              <w:t xml:space="preserve">    </w:t>
            </w:r>
            <w:r w:rsidR="006D5B66" w:rsidRPr="0027243F">
              <w:rPr>
                <w:sz w:val="22"/>
                <w:szCs w:val="22"/>
              </w:rPr>
              <w:t xml:space="preserve"> 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9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7A569E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0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7243F">
              <w:rPr>
                <w:bCs/>
                <w:i/>
                <w:sz w:val="22"/>
                <w:szCs w:val="22"/>
              </w:rPr>
              <w:t xml:space="preserve"> </w:t>
            </w:r>
            <w:r w:rsidR="00DA3BE3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</w:t>
            </w:r>
            <w:r w:rsidR="00A14286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plikacioneve</w:t>
            </w:r>
            <w:r w:rsidR="00533B2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</w:t>
            </w:r>
            <w:r w:rsidR="008E4535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:</w:t>
            </w:r>
            <w:r w:rsidR="008E4535"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7A569E" w:rsidRDefault="00AA5966" w:rsidP="00A14286">
            <w:pPr>
              <w:rPr>
                <w:b/>
                <w:color w:val="0000FF"/>
                <w:sz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</w:t>
            </w:r>
            <w:r w:rsidR="001C4C60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ata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3D5999">
              <w:rPr>
                <w:b/>
                <w:color w:val="0000FF"/>
                <w:sz w:val="22"/>
              </w:rPr>
              <w:t>11</w:t>
            </w:r>
            <w:r w:rsidR="001247D2">
              <w:rPr>
                <w:b/>
                <w:color w:val="0000FF"/>
                <w:sz w:val="22"/>
              </w:rPr>
              <w:t>.</w:t>
            </w:r>
            <w:r w:rsidR="00655ECC">
              <w:rPr>
                <w:b/>
                <w:color w:val="0000FF"/>
                <w:sz w:val="22"/>
              </w:rPr>
              <w:t>09</w:t>
            </w:r>
            <w:r w:rsidRPr="00CF2CBD">
              <w:rPr>
                <w:b/>
                <w:color w:val="0000FF"/>
                <w:sz w:val="22"/>
              </w:rPr>
              <w:t>.202</w:t>
            </w:r>
            <w:r>
              <w:rPr>
                <w:b/>
                <w:color w:val="0000FF"/>
                <w:sz w:val="22"/>
              </w:rPr>
              <w:t>3</w:t>
            </w:r>
            <w:r w:rsidRPr="004A4C4A">
              <w:rPr>
                <w:i/>
                <w:sz w:val="22"/>
                <w:szCs w:val="22"/>
              </w:rPr>
              <w:t xml:space="preserve">  </w:t>
            </w:r>
            <w:r w:rsidRPr="00F42124">
              <w:rPr>
                <w:b/>
                <w:bCs/>
                <w:sz w:val="22"/>
                <w:szCs w:val="22"/>
              </w:rPr>
              <w:t xml:space="preserve"> koha _</w:t>
            </w:r>
            <w:r w:rsidRPr="00CF2CBD">
              <w:rPr>
                <w:b/>
                <w:i/>
                <w:color w:val="0000FF"/>
                <w:sz w:val="22"/>
              </w:rPr>
              <w:t>14:00</w:t>
            </w:r>
            <w:r w:rsidRPr="004A4C4A">
              <w:rPr>
                <w:i/>
                <w:sz w:val="22"/>
                <w:szCs w:val="22"/>
              </w:rPr>
              <w:t xml:space="preserve"> </w:t>
            </w:r>
            <w:r w:rsidRPr="00F42124">
              <w:rPr>
                <w:b/>
                <w:bCs/>
                <w:sz w:val="22"/>
                <w:szCs w:val="22"/>
              </w:rPr>
              <w:t xml:space="preserve">  vendi</w:t>
            </w:r>
            <w:r w:rsidRPr="00CF2CBD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Pr="00CF2CBD">
              <w:rPr>
                <w:b/>
                <w:i/>
                <w:color w:val="0000FF"/>
                <w:sz w:val="22"/>
              </w:rPr>
              <w:t>Arhiva</w:t>
            </w:r>
            <w:proofErr w:type="spellEnd"/>
            <w:r w:rsidRPr="00CF2CBD">
              <w:rPr>
                <w:b/>
                <w:i/>
                <w:color w:val="0000FF"/>
                <w:sz w:val="22"/>
              </w:rPr>
              <w:t xml:space="preserve"> e KEDS në ndërtesën Qendrore</w:t>
            </w:r>
            <w:r w:rsidRPr="00F42124">
              <w:rPr>
                <w:b/>
                <w:i/>
                <w:color w:val="0000FF"/>
                <w:sz w:val="22"/>
              </w:rPr>
              <w:t xml:space="preserve"> _______________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1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Pr="0027243F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D22953">
              <w:rPr>
                <w:sz w:val="22"/>
                <w:szCs w:val="22"/>
              </w:rPr>
            </w:r>
            <w:r w:rsidR="00D2295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3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D22953">
                    <w:rPr>
                      <w:sz w:val="22"/>
                      <w:szCs w:val="22"/>
                    </w:rPr>
                  </w:r>
                  <w:r w:rsidR="00D2295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494" w:type="dxa"/>
                  <w:vAlign w:val="center"/>
                </w:tcPr>
                <w:p w:rsidR="00604030" w:rsidRPr="003D5999" w:rsidRDefault="005D2559" w:rsidP="00932368">
                  <w:pPr>
                    <w:rPr>
                      <w:b/>
                      <w:i/>
                      <w:color w:val="0000FF"/>
                      <w:sz w:val="22"/>
                    </w:rPr>
                  </w:pPr>
                  <w:r w:rsidRPr="003D5999">
                    <w:rPr>
                      <w:b/>
                      <w:i/>
                      <w:color w:val="0000FF"/>
                      <w:sz w:val="22"/>
                    </w:rPr>
                    <w:t>J</w:t>
                  </w:r>
                  <w:r w:rsidR="00604030" w:rsidRPr="003D5999">
                    <w:rPr>
                      <w:b/>
                      <w:i/>
                      <w:color w:val="0000FF"/>
                      <w:sz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3D5999" w:rsidRDefault="003D5999" w:rsidP="00932368">
                  <w:pPr>
                    <w:rPr>
                      <w:b/>
                      <w:i/>
                      <w:color w:val="0000FF"/>
                      <w:sz w:val="22"/>
                    </w:rPr>
                  </w:pPr>
                  <w:r w:rsidRPr="003D5999">
                    <w:rPr>
                      <w:b/>
                      <w:i/>
                      <w:color w:val="0000FF"/>
                      <w:sz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4" w:name="Check46"/>
                  <w:r w:rsidRPr="003D5999">
                    <w:rPr>
                      <w:b/>
                      <w:i/>
                      <w:color w:val="0000FF"/>
                      <w:sz w:val="22"/>
                    </w:rPr>
                    <w:instrText xml:space="preserve"> FORMCHECKBOX </w:instrText>
                  </w:r>
                  <w:r w:rsidRPr="003D5999">
                    <w:rPr>
                      <w:b/>
                      <w:i/>
                      <w:color w:val="0000FF"/>
                      <w:sz w:val="22"/>
                    </w:rPr>
                  </w:r>
                  <w:r w:rsidRPr="003D5999">
                    <w:rPr>
                      <w:b/>
                      <w:i/>
                      <w:color w:val="0000FF"/>
                      <w:sz w:val="22"/>
                    </w:rPr>
                    <w:fldChar w:fldCharType="end"/>
                  </w:r>
                  <w:bookmarkEnd w:id="54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 xml:space="preserve">Periudha e vlefshmërisë së </w:t>
            </w:r>
            <w:proofErr w:type="spellStart"/>
            <w:r w:rsidR="005D2559" w:rsidRPr="0027243F">
              <w:rPr>
                <w:b/>
                <w:bCs/>
                <w:sz w:val="22"/>
                <w:szCs w:val="22"/>
              </w:rPr>
              <w:t>tenderit:</w:t>
            </w:r>
            <w:r w:rsidRPr="0027243F">
              <w:rPr>
                <w:sz w:val="22"/>
                <w:szCs w:val="22"/>
                <w:highlight w:val="lightGray"/>
              </w:rPr>
              <w:t>d</w:t>
            </w:r>
            <w:r w:rsidR="005D2559" w:rsidRPr="0027243F">
              <w:rPr>
                <w:sz w:val="22"/>
                <w:szCs w:val="22"/>
                <w:highlight w:val="lightGray"/>
              </w:rPr>
              <w:t>ata</w:t>
            </w:r>
            <w:proofErr w:type="spellEnd"/>
            <w:r w:rsidRPr="0027243F">
              <w:rPr>
                <w:sz w:val="22"/>
                <w:szCs w:val="22"/>
                <w:highlight w:val="lightGray"/>
              </w:rPr>
              <w:t xml:space="preserve">: </w:t>
            </w:r>
            <w:r w:rsidR="001247D2">
              <w:rPr>
                <w:b/>
                <w:color w:val="0000C8"/>
                <w:sz w:val="22"/>
                <w:szCs w:val="22"/>
              </w:rPr>
              <w:t>6</w:t>
            </w:r>
            <w:r w:rsidR="001247D2" w:rsidRPr="00FE2B39">
              <w:rPr>
                <w:b/>
                <w:color w:val="0000C8"/>
                <w:sz w:val="22"/>
                <w:szCs w:val="22"/>
              </w:rPr>
              <w:t>0 ditë</w:t>
            </w:r>
            <w:bookmarkStart w:id="55" w:name="_GoBack"/>
            <w:bookmarkEnd w:id="55"/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0E78D2" w:rsidRPr="0027243F" w:rsidRDefault="000E78D2" w:rsidP="00655ECC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655ECC">
              <w:rPr>
                <w:b/>
                <w:bCs/>
                <w:i/>
                <w:sz w:val="22"/>
                <w:szCs w:val="22"/>
              </w:rPr>
              <w:t>N/A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27243F" w:rsidTr="003D5999">
        <w:trPr>
          <w:trHeight w:val="124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3D5999" w:rsidRDefault="00D86EB6" w:rsidP="003D5999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 xml:space="preserve">[si konferenca para-ofertuese, vizita ne punishte </w:t>
            </w:r>
            <w:proofErr w:type="spellStart"/>
            <w:r w:rsidR="00A124CC" w:rsidRPr="0027243F">
              <w:rPr>
                <w:i/>
                <w:iCs/>
                <w:sz w:val="22"/>
                <w:szCs w:val="22"/>
              </w:rPr>
              <w:t>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proofErr w:type="spellEnd"/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DF2D18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p w:rsidR="00FE7283" w:rsidRDefault="00FE7283" w:rsidP="00AC04EB">
      <w:pPr>
        <w:rPr>
          <w:sz w:val="22"/>
          <w:szCs w:val="22"/>
        </w:rPr>
      </w:pPr>
    </w:p>
    <w:p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953" w:rsidRDefault="00D22953">
      <w:r>
        <w:separator/>
      </w:r>
    </w:p>
  </w:endnote>
  <w:endnote w:type="continuationSeparator" w:id="0">
    <w:p w:rsidR="00D22953" w:rsidRDefault="00D2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953" w:rsidRDefault="00D22953">
      <w:r>
        <w:separator/>
      </w:r>
    </w:p>
  </w:footnote>
  <w:footnote w:type="continuationSeparator" w:id="0">
    <w:p w:rsidR="00D22953" w:rsidRDefault="00D2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27243F" w:rsidRPr="00A6439B" w:rsidTr="009553B9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27243F" w:rsidRPr="009B1B64" w:rsidRDefault="0027243F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27243F" w:rsidRPr="00A6439B" w:rsidTr="009553B9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27243F" w:rsidRPr="00A42DC6" w:rsidRDefault="0027243F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3D5999">
            <w:rPr>
              <w:bCs/>
              <w:noProof/>
              <w:sz w:val="18"/>
              <w:szCs w:val="18"/>
            </w:rPr>
            <w:t>6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3D5999">
            <w:rPr>
              <w:bCs/>
              <w:noProof/>
              <w:sz w:val="18"/>
              <w:szCs w:val="18"/>
            </w:rPr>
            <w:t>6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27243F" w:rsidRPr="00A6439B" w:rsidTr="009553B9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27243F" w:rsidRPr="009257A4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317BBC" w:rsidRDefault="00317BBC">
    <w:pPr>
      <w:tabs>
        <w:tab w:val="center" w:pos="4320"/>
        <w:tab w:val="right" w:pos="8640"/>
      </w:tabs>
      <w:rPr>
        <w:kern w:val="0"/>
      </w:rPr>
    </w:pPr>
  </w:p>
  <w:p w:rsidR="00317BBC" w:rsidRDefault="00317BB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A1718"/>
    <w:rsid w:val="000A2C07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47D2"/>
    <w:rsid w:val="00126063"/>
    <w:rsid w:val="00145339"/>
    <w:rsid w:val="00151176"/>
    <w:rsid w:val="001578F9"/>
    <w:rsid w:val="0016192E"/>
    <w:rsid w:val="00166A92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399C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D5999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55EC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A569E"/>
    <w:rsid w:val="007A6DAF"/>
    <w:rsid w:val="007B03D9"/>
    <w:rsid w:val="007B535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16E9D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D18E3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A5966"/>
    <w:rsid w:val="00AB38F6"/>
    <w:rsid w:val="00AB5751"/>
    <w:rsid w:val="00AC04EB"/>
    <w:rsid w:val="00AC3717"/>
    <w:rsid w:val="00AD10C4"/>
    <w:rsid w:val="00AD2211"/>
    <w:rsid w:val="00AE1CC3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14810"/>
    <w:rsid w:val="00D16D15"/>
    <w:rsid w:val="00D17122"/>
    <w:rsid w:val="00D22953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7085F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Arbenita Kadriu</cp:lastModifiedBy>
  <cp:revision>3</cp:revision>
  <cp:lastPrinted>2011-06-03T08:36:00Z</cp:lastPrinted>
  <dcterms:created xsi:type="dcterms:W3CDTF">2023-08-17T13:52:00Z</dcterms:created>
  <dcterms:modified xsi:type="dcterms:W3CDTF">2023-08-22T07:56:00Z</dcterms:modified>
</cp:coreProperties>
</file>